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after="0" w:line="240" w:lineRule="auto"/>
        <w:jc w:val="center"/>
        <w:rPr>
          <w:rFonts w:hint="eastAsia" w:ascii="方正小标宋_GBK" w:hAnsi="方正小标宋_GBK" w:eastAsia="方正小标宋_GBK" w:cs="方正小标宋_GBK"/>
          <w:b w:val="0"/>
          <w:sz w:val="36"/>
          <w:szCs w:val="36"/>
        </w:rPr>
      </w:pPr>
      <w:bookmarkStart w:id="0" w:name="_Toc335661869"/>
      <w:bookmarkStart w:id="1" w:name="_Toc334024279"/>
      <w:r>
        <w:rPr>
          <w:rFonts w:hint="eastAsia" w:ascii="方正小标宋_GBK" w:hAnsi="方正小标宋_GBK" w:eastAsia="方正小标宋_GBK" w:cs="方正小标宋_GBK"/>
          <w:b w:val="0"/>
          <w:sz w:val="36"/>
          <w:szCs w:val="36"/>
        </w:rPr>
        <w:t>湖北省</w:t>
      </w:r>
      <w:r>
        <w:rPr>
          <w:rFonts w:hint="eastAsia" w:ascii="方正小标宋_GBK" w:hAnsi="方正小标宋_GBK" w:eastAsia="方正小标宋_GBK" w:cs="方正小标宋_GBK"/>
          <w:b w:val="0"/>
          <w:sz w:val="36"/>
          <w:szCs w:val="36"/>
          <w:lang w:val="en-US" w:eastAsia="zh-CN"/>
        </w:rPr>
        <w:t>2021</w:t>
      </w:r>
      <w:r>
        <w:rPr>
          <w:rFonts w:hint="eastAsia" w:ascii="方正小标宋_GBK" w:hAnsi="方正小标宋_GBK" w:eastAsia="方正小标宋_GBK" w:cs="方正小标宋_GBK"/>
          <w:b w:val="0"/>
          <w:sz w:val="36"/>
          <w:szCs w:val="36"/>
        </w:rPr>
        <w:t>年三级医院临床重点专科评分标准</w:t>
      </w:r>
      <w:bookmarkEnd w:id="0"/>
      <w:bookmarkEnd w:id="1"/>
    </w:p>
    <w:p>
      <w:pPr>
        <w:jc w:val="center"/>
        <w:rPr>
          <w:rFonts w:ascii="仿宋_GB2312" w:hAnsi="宋体" w:eastAsia="仿宋_GB2312"/>
          <w:snapToGrid w:val="0"/>
          <w:kern w:val="0"/>
          <w:sz w:val="30"/>
          <w:szCs w:val="30"/>
        </w:rPr>
      </w:pPr>
      <w:r>
        <w:rPr>
          <w:rFonts w:hint="eastAsia" w:ascii="仿宋_GB2312" w:hAnsi="宋体" w:eastAsia="仿宋_GB2312"/>
          <w:bCs/>
          <w:spacing w:val="20"/>
          <w:sz w:val="30"/>
          <w:szCs w:val="30"/>
        </w:rPr>
        <w:t>（适用于麻醉科专业）</w:t>
      </w:r>
    </w:p>
    <w:tbl>
      <w:tblPr>
        <w:tblStyle w:val="9"/>
        <w:tblW w:w="145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20"/>
        <w:gridCol w:w="678"/>
        <w:gridCol w:w="3474"/>
        <w:gridCol w:w="720"/>
        <w:gridCol w:w="4680"/>
        <w:gridCol w:w="4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楷体_GB2312" w:hAnsi="宋体" w:eastAsia="楷体_GB2312"/>
                <w:b/>
                <w:snapToGrid w:val="0"/>
                <w:kern w:val="0"/>
                <w:szCs w:val="21"/>
              </w:rPr>
            </w:pPr>
            <w:r>
              <w:rPr>
                <w:rFonts w:hint="eastAsia" w:ascii="楷体_GB2312" w:hAnsi="宋体" w:eastAsia="楷体_GB2312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160</w:t>
            </w:r>
          </w:p>
        </w:tc>
        <w:tc>
          <w:tcPr>
            <w:tcW w:w="9161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无组织机构不得分，有机构未履行职责扣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规划欠合理得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分；无中长期发展规划不得分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规模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专科独立单元，科室布局符合《湖北省麻醉质量控制标准》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eastAsia="宋体"/>
                <w:snapToGrid w:val="0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科室标识不规范、不清楚、不醒目扣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执业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麻醉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医师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与手术台数量之比（含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中心手术室手术台、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手术室外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手术台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日间手术台、麻醉门诊诊室等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，不包括疼痛治疗科）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麻醉人员指具备麻醉实施资历的麻醉医师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与手术台数量之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大于2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:1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大于1.8：1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8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大于1.5：1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未达标不得分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default" w:ascii="宋体" w:hAns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麻醉科执业护士与执业麻醉医师之比（不含手术室护士）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="宋体" w:hAnsi="宋体" w:eastAsia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与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执业麻醉医师之比大于0.5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少于0.5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少于0.3：1得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少于0.1：1不得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  <w:bookmarkStart w:id="2" w:name="_GoBack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麻醉恢复室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/>
                <w:bCs/>
                <w:snapToGrid w:val="0"/>
                <w:color w:val="000000"/>
                <w:kern w:val="0"/>
                <w:sz w:val="32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与手术台比例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大于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：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大于1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：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少于1：2得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分，没有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疼痛门诊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门诊量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大于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2000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大于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1500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  <w:lang w:val="en-US" w:eastAsia="zh-CN"/>
              </w:rPr>
              <w:t>大于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1000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分，其它得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分，否则不得分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支撑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条件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评估前三年医院每年对专科经费投入不低于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万元减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现场查看专科必备的仪器情况，查看仪器的使用记录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参照麻醉质控标准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设备满足所开展技术项目需要得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；医疗设备具有先进性得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分，具有适宜性得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无发展规划扣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分；无工作计划扣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分；无年度总结扣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专科有医疗质量管理组织，有医疗质量的管理制度，有医疗质量数据记录，上报省质控中心，并落实缺陷整改。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查资料、查记录；查省质控中心数据监测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未成立组织或无上报记录不得分；无质量管理制度扣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分；每月未定期检查不得分；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人不熟悉质量管理制度扣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查资料，现场随机抽查医、护人员各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无岗位职责不得分，岗位职责不健全扣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人不熟悉岗位职责扣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麻醉、监护、抢救设备完好率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查资料、查记录、现场查看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完好率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100%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分，每一个缺陷扣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分，扣完为止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麻醉物品和药品管理制度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查资料，参照国家毒麻药品管理制度进行检查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管理数据完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  <w:lang w:val="en-US" w:eastAsia="zh-CN"/>
              </w:rPr>
              <w:t>整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分，有缺陷得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11-2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分，重大缺陷得</w:t>
            </w:r>
            <w: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职称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正高或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岁以下的副高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非正高职称或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岁以上副高级职称不得分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主持科内疑难危重患者术前讨论并指导麻醉每年不少于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次，年内应邀参加三级医院间疑难危重病例大会诊不少于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主持科内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疑难危重患者术前讨论并指导麻醉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每年少于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次，扣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分；参加三级医院间疑难危重病例重大会诊次数少于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主持科研项目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国家级、省级、市级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分，省级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分，市级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发表论文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统计源以上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少一篇扣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篇以下不得分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28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名扣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名不具备副高以上职称扣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年参加科内疑难危重患者术前讨论并指导麻醉平均每周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次以上，年内应邀参加三级医院间疑难危重病例大会诊不少于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参加科内疑难危重患者术前讨论并指导麻醉平均每周少于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年内应邀参加三级医院间疑难危重病例大会诊少于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统计源以上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年内获准批件；查评审前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年内以第一作者或通讯作者发表的统计源以上期刊杂志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未承担相应课题扣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分，论文少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篇扣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26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名专业技术人员相应执业资格；医师人数不低于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人不具备相应执业资格不得分；医师床位比不达标扣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查学位证书原件，各学位医师应占专科医师的比例不得低于硕士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，博士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硕士不达标扣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分；博士不达标扣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分（在读不计入）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查职称证书，高级、中级、初级人员占医师总数比例为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∶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各级人员比例可上下浮动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10%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范围，超出范围比例失调不得分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结构层次清楚，人数近似得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分；人数比例明显失调扣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建立麻醉专科护理质量管理组织，有护理质量持续改进的实施计划和管理目标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未建立麻醉专科护理质量管理组织不得分；无实施计划和管理目标扣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分；无质量分析记录和改进措施扣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考核护士长掌握业务情况及科室管理情况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对业务不熟悉扣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分；对科室管理情况不清楚扣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查有关资料，现场考核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无培训计划扣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分，无考核记录扣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名护士业务能力不熟悉扣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无计划不得分，无培训记录扣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选送科室人员到外院或国外医院进修学习，每年不少于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人次，进修时间不少于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个月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人次，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人以上（含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人）得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分；每减少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由评审专家组结合专业实际确定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8-10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个三级医院常规临床技术项目。查阅相关病历和资料，评价专科技术的总体水平和其地位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手术床位使用率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手术床位使用率＜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200%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终止评审；病床使用率≥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200%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，得满分，每降低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平均年麻醉台数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专家根据参评单位平均年麻醉台数情况综合打分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平均年疼痛门诊人次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专家根据参评单位平均年门诊人次情况综合打分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科室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平均年术后镇痛人次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专科麻醉建设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专科麻醉与专科发展相适应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有专科麻醉分组得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个反映本专业水平和能力的病种或技术进行比较评价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医院提供的评审前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项技术，评定其先进性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对医院提供的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项技术进行评估，每项技术适应症的合理掌握（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分），实施效果（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分），单项技术先进性、领先程度（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3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、本专科独立完成；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、每一项目能提交评审前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年内的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份麻醉记录单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按照《项目指南》的要求进行考核，每一项目查阅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份麻醉记录单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按相应专业技术项目的条款的总数平分分值；病历数少于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者，本项按未开展计算，大于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不足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的扣除相应分值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2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麻醉选择恰当、术中管理合理、麻醉效果满意、并发症合并症发生率低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份麻醉记录单进行评审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查疑难病例记录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特殊疑难病例占年手术量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&gt;10%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&gt;5%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分，其它得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查危重病例记录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ASA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分级Ⅳ病例占年手术量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&gt;20%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&gt;10%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&gt;5%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分，其它得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创新项目的数量（院级以上）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查在评审前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年，均有创新项目，带动诊疗技术水平不断提高，得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分；创新项目少，适当扣分；临床诊疗水平停滞不前，不得分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分。未产生效益不得分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项创新项目具有先进性且临床应用好，得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项创新项目具有先进性且临床应用好得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创新项目的临床转化能力强，得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分；转化能力一般，得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分；不能转化为临床使用则不得分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年出院患者中外埠患者比例≥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比例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≥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30%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得满分，每降低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1.5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下级医院转入急危重症和疑难病患者≥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20%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分，每降低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 xml:space="preserve">1% 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对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家及以上医院进行对口支援，得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分，每少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家扣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年，每年举办技术推广培训班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未举办技术推广会议或培训不得分，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年未举办扣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受邀在省级以上学术会议上做学术报告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年学术交流有关资料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大会报告每次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分，书面交流每次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分，最高不超过标准分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60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术前访视和谈话、术后随访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份麻醉记录单进行检查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份不合格扣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8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份麻醉记录单，检查用药是否合理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份不合理扣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省质控中心报数据查看，抽查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份用血记录，检查是否严格遵守输血禁忌症，临床用血是否科学、合理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无自体血回输病例不得分，抽查病例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份病历不合理扣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发生三、四级医疗事故负主要责任不得分，次要责任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/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每天有疼痛门诊，每周至少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次高级职称人员门诊，每项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开设手术室外麻醉或镇痛（无痛人流、无痛内窥镜等）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开设得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分，未开设，不得分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门诊患者中预约挂号情况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已开展工作得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140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包括麻醉相关死亡率</w:t>
            </w:r>
            <w:r>
              <w:rPr>
                <w:rFonts w:ascii="宋体" w:hAnsi="宋体"/>
                <w:bCs/>
                <w:snapToGrid w:val="0"/>
                <w:color w:val="000000"/>
                <w:szCs w:val="21"/>
              </w:rPr>
              <w:t>17</w:t>
            </w: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个质控指标上报省质控中心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查省质控中心数据，实地抽查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无上报不得分，上报数据不全得</w:t>
            </w:r>
            <w:r>
              <w:rPr>
                <w:rFonts w:ascii="宋体" w:hAnsi="宋体"/>
                <w:bCs/>
                <w:snapToGrid w:val="0"/>
                <w:color w:val="000000"/>
                <w:szCs w:val="21"/>
              </w:rPr>
              <w:t>20</w:t>
            </w: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分，上报数据完整得</w:t>
            </w:r>
            <w:r>
              <w:rPr>
                <w:rFonts w:ascii="宋体" w:hAnsi="宋体"/>
                <w:bCs/>
                <w:snapToGrid w:val="0"/>
                <w:color w:val="000000"/>
                <w:szCs w:val="21"/>
              </w:rPr>
              <w:t>40</w:t>
            </w: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医师交接班制度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酌情评分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麻醉操作常规及相关技术常规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酌情评分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麻醉器材的管理和消毒制度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酌情评分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/>
                <w:bCs/>
                <w:i/>
                <w:snapToGrid w:val="0"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szCs w:val="21"/>
              </w:rPr>
              <w:t>对所实施的麻醉有分类登记、会诊有登记、参与科外的抢救有登记、麻醉并发症有登记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查看相关记录，实地查看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项未登记扣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分，扣完为止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现场随机抽查医生、护士各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人不合格扣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麻醉相关设备配备情况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参照省麻醉质控标准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鄂卫办发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[2009]87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号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，共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19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每缺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项扣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分，扣完为止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制度健全、落实到位得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分。有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项缺项或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处不落实扣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手术医师和病人满意度调查大于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随机调查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名手术医师和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10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满意度低于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95%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，每降低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1%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分，低于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90%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5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学术委员会任职情况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全国主委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分、副主委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分，常委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分，委员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分；省主委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分，常委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分、委员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分；市主委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分，副主委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学术刊物任职情况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收录杂志的主编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分，常务编委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分；中华医学会系列杂志主编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分，常务编委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分；统计源杂志主编、副主编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分，常务编委、编委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举办学术会议情况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国际性学术会议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分；全国性学术会议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分；省级学术会议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分；市级学术会议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4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查评审前</w:t>
            </w:r>
            <w:r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年内第一作者获得项目的批件。可累积计分，总分不超过标准分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项得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23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国家级、省级、市级科技奖励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一、二、三等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国家级一等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分；省一等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9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分，二等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分；市一等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分、二等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分、三等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发表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SCI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每篇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分；中华医学会系列杂志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分；统计源杂志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国家级、省级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甲类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、市级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乙类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继续教育项目；深入基层举办继续教育项目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学习班、论坛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国家级一项次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分，省级一项次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分，市级一项次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举办培训班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次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分；可累积计分，总分不超过标准分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住院医师规范化培训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年内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培养规范化医师人数、合格率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未获得规范化医师培训基地，不得分。培养合格率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&lt;95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分；每低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个百分点，扣</w:t>
            </w: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接受外单位在职人员进修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(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进修以半年以上人员为准，且每年≥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查评评审前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年内资料，进修人员以申请表和进修人员学历证明为准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学生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教育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查评审前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年内资料，临床教学不少于本课时的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80%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2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分，无实习、见习扣</w:t>
            </w:r>
            <w:r>
              <w:rPr>
                <w:rFonts w:ascii="宋体" w:hAnsi="宋体"/>
                <w:snapToGrid w:val="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vMerge w:val="continue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 w:val="continue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专科所在的二级或三级学科是硕士学位授予点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kern w:val="0"/>
                <w:szCs w:val="21"/>
              </w:rPr>
              <w:t>无硕士学位授予点不得分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0" w:hRule="atLeast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>
            <w:pPr>
              <w:adjustRightInd w:val="0"/>
              <w:snapToGrid w:val="0"/>
              <w:jc w:val="center"/>
              <w:rPr>
                <w:rFonts w:asci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adjustRightInd w:val="0"/>
              <w:snapToGrid w:val="0"/>
              <w:rPr>
                <w:rFonts w:asci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/>
                <w:snapToGrid w:val="0"/>
                <w:color w:val="000000"/>
                <w:kern w:val="0"/>
                <w:szCs w:val="21"/>
              </w:rPr>
              <w:t>,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编委</w:t>
            </w:r>
            <w:r>
              <w:rPr>
                <w:rFonts w:ascii="宋体" w:hAnsi="宋体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>
      <w:pPr>
        <w:rPr>
          <w:rFonts w:ascii="宋体"/>
          <w:snapToGrid w:val="0"/>
          <w:kern w:val="0"/>
        </w:rPr>
      </w:pPr>
    </w:p>
    <w:p>
      <w:pPr>
        <w:rPr>
          <w:rFonts w:asci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注：</w:t>
      </w:r>
      <w:r>
        <w:rPr>
          <w:rFonts w:ascii="宋体" w:hAnsi="宋体"/>
          <w:b/>
          <w:sz w:val="28"/>
          <w:szCs w:val="28"/>
        </w:rPr>
        <w:t>1.</w:t>
      </w:r>
      <w:r>
        <w:rPr>
          <w:rFonts w:hint="eastAsia" w:ascii="宋体" w:hAnsi="宋体"/>
          <w:b/>
          <w:sz w:val="28"/>
          <w:szCs w:val="28"/>
        </w:rPr>
        <w:t>专科检查单项指标没有详细条目描述的均参照最新版《湖北省麻醉质量控制标准》评分</w:t>
      </w:r>
    </w:p>
    <w:p>
      <w:pPr>
        <w:ind w:firstLine="562" w:firstLineChars="200"/>
        <w:rPr>
          <w:rFonts w:asci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2.</w:t>
      </w:r>
      <w:r>
        <w:rPr>
          <w:rFonts w:hint="eastAsia" w:ascii="宋体" w:hAnsi="宋体"/>
          <w:b/>
          <w:sz w:val="28"/>
          <w:szCs w:val="28"/>
        </w:rPr>
        <w:t>总分</w:t>
      </w:r>
      <w:r>
        <w:rPr>
          <w:rFonts w:ascii="宋体" w:hAnsi="宋体"/>
          <w:b/>
          <w:sz w:val="28"/>
          <w:szCs w:val="28"/>
        </w:rPr>
        <w:t>1000</w:t>
      </w:r>
      <w:r>
        <w:rPr>
          <w:rFonts w:hint="eastAsia" w:ascii="宋体" w:hAnsi="宋体"/>
          <w:b/>
          <w:sz w:val="28"/>
          <w:szCs w:val="28"/>
        </w:rPr>
        <w:t>分。每项得分不得超过标准分，扣分以扣完标准分为止。</w:t>
      </w:r>
    </w:p>
    <w:p/>
    <w:sectPr>
      <w:pgSz w:w="16838" w:h="11906" w:orient="landscape"/>
      <w:pgMar w:top="1797" w:right="1440" w:bottom="1797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NotTrackMoves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DE6"/>
    <w:rsid w:val="00096493"/>
    <w:rsid w:val="001036A0"/>
    <w:rsid w:val="00105DE6"/>
    <w:rsid w:val="00197FD2"/>
    <w:rsid w:val="00220512"/>
    <w:rsid w:val="002E037D"/>
    <w:rsid w:val="003041EA"/>
    <w:rsid w:val="00322673"/>
    <w:rsid w:val="00345CF5"/>
    <w:rsid w:val="00375D82"/>
    <w:rsid w:val="003B014B"/>
    <w:rsid w:val="003E2E85"/>
    <w:rsid w:val="004034AE"/>
    <w:rsid w:val="005104C4"/>
    <w:rsid w:val="00537C3D"/>
    <w:rsid w:val="00552143"/>
    <w:rsid w:val="00552E38"/>
    <w:rsid w:val="00570C20"/>
    <w:rsid w:val="0067508A"/>
    <w:rsid w:val="007336B8"/>
    <w:rsid w:val="007B3EB6"/>
    <w:rsid w:val="00824535"/>
    <w:rsid w:val="00882249"/>
    <w:rsid w:val="00906F74"/>
    <w:rsid w:val="00935997"/>
    <w:rsid w:val="00941BBF"/>
    <w:rsid w:val="00954A4C"/>
    <w:rsid w:val="00971995"/>
    <w:rsid w:val="009E1A86"/>
    <w:rsid w:val="00A82CF2"/>
    <w:rsid w:val="00B647A3"/>
    <w:rsid w:val="00C72F9E"/>
    <w:rsid w:val="00EC366C"/>
    <w:rsid w:val="00F37DC2"/>
    <w:rsid w:val="00F554B1"/>
    <w:rsid w:val="0A8F5015"/>
    <w:rsid w:val="24A1489B"/>
    <w:rsid w:val="264520EE"/>
    <w:rsid w:val="28081C46"/>
    <w:rsid w:val="2B9F218C"/>
    <w:rsid w:val="2DC9556F"/>
    <w:rsid w:val="3B254D9E"/>
    <w:rsid w:val="49092EC3"/>
    <w:rsid w:val="651E4E93"/>
    <w:rsid w:val="6BD376AF"/>
    <w:rsid w:val="6F8D7957"/>
    <w:rsid w:val="7EDE34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nhideWhenUsed="0"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6"/>
    <w:semiHidden/>
    <w:qFormat/>
    <w:uiPriority w:val="99"/>
    <w:pPr>
      <w:jc w:val="left"/>
    </w:pPr>
  </w:style>
  <w:style w:type="paragraph" w:styleId="4">
    <w:name w:val="Body Text"/>
    <w:basedOn w:val="1"/>
    <w:link w:val="15"/>
    <w:qFormat/>
    <w:uiPriority w:val="99"/>
    <w:rPr>
      <w:rFonts w:ascii="宋体" w:hAnsi="宋体"/>
      <w:b/>
      <w:bCs/>
      <w:sz w:val="24"/>
    </w:rPr>
  </w:style>
  <w:style w:type="paragraph" w:styleId="5">
    <w:name w:val="Balloon Text"/>
    <w:basedOn w:val="1"/>
    <w:link w:val="18"/>
    <w:semiHidden/>
    <w:qFormat/>
    <w:uiPriority w:val="99"/>
    <w:rPr>
      <w:sz w:val="18"/>
      <w:szCs w:val="18"/>
    </w:rPr>
  </w:style>
  <w:style w:type="paragraph" w:styleId="6">
    <w:name w:val="footer"/>
    <w:basedOn w:val="1"/>
    <w:link w:val="14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7">
    <w:name w:val="header"/>
    <w:basedOn w:val="1"/>
    <w:link w:val="13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8">
    <w:name w:val="annotation subject"/>
    <w:basedOn w:val="3"/>
    <w:next w:val="3"/>
    <w:link w:val="17"/>
    <w:semiHidden/>
    <w:qFormat/>
    <w:uiPriority w:val="99"/>
    <w:rPr>
      <w:b/>
      <w:bCs/>
    </w:rPr>
  </w:style>
  <w:style w:type="character" w:styleId="11">
    <w:name w:val="annotation reference"/>
    <w:semiHidden/>
    <w:qFormat/>
    <w:uiPriority w:val="99"/>
    <w:rPr>
      <w:rFonts w:cs="Times New Roman"/>
      <w:sz w:val="21"/>
      <w:szCs w:val="21"/>
    </w:rPr>
  </w:style>
  <w:style w:type="character" w:customStyle="1" w:styleId="12">
    <w:name w:val="标题 1 Char"/>
    <w:link w:val="2"/>
    <w:qFormat/>
    <w:locked/>
    <w:uiPriority w:val="9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13">
    <w:name w:val="页眉 Char"/>
    <w:link w:val="7"/>
    <w:semiHidden/>
    <w:qFormat/>
    <w:locked/>
    <w:uiPriority w:val="99"/>
    <w:rPr>
      <w:rFonts w:cs="Times New Roman"/>
      <w:sz w:val="18"/>
      <w:szCs w:val="18"/>
    </w:rPr>
  </w:style>
  <w:style w:type="character" w:customStyle="1" w:styleId="14">
    <w:name w:val="页脚 Char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5">
    <w:name w:val="正文文本 Char"/>
    <w:link w:val="4"/>
    <w:qFormat/>
    <w:locked/>
    <w:uiPriority w:val="99"/>
    <w:rPr>
      <w:rFonts w:ascii="宋体" w:hAnsi="宋体" w:eastAsia="宋体" w:cs="Times New Roman"/>
      <w:b/>
      <w:bCs/>
      <w:sz w:val="24"/>
      <w:szCs w:val="24"/>
    </w:rPr>
  </w:style>
  <w:style w:type="character" w:customStyle="1" w:styleId="16">
    <w:name w:val="批注文字 Char"/>
    <w:link w:val="3"/>
    <w:semiHidden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7">
    <w:name w:val="批注主题 Char"/>
    <w:link w:val="8"/>
    <w:semiHidden/>
    <w:qFormat/>
    <w:locked/>
    <w:uiPriority w:val="99"/>
    <w:rPr>
      <w:rFonts w:ascii="Times New Roman" w:hAnsi="Times New Roman" w:eastAsia="宋体" w:cs="Times New Roman"/>
      <w:b/>
      <w:bCs/>
      <w:sz w:val="24"/>
      <w:szCs w:val="24"/>
    </w:rPr>
  </w:style>
  <w:style w:type="character" w:customStyle="1" w:styleId="18">
    <w:name w:val="批注框文本 Char"/>
    <w:link w:val="5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985</Words>
  <Characters>5616</Characters>
  <Lines>46</Lines>
  <Paragraphs>13</Paragraphs>
  <TotalTime>2</TotalTime>
  <ScaleCrop>false</ScaleCrop>
  <LinksUpToDate>false</LinksUpToDate>
  <CharactersWithSpaces>6588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2016-03-23T03:35:00Z</dcterms:created>
  <dc:creator>lenovo</dc:creator>
  <cp:lastModifiedBy>庆红</cp:lastModifiedBy>
  <dcterms:modified xsi:type="dcterms:W3CDTF">2021-09-06T02:38:30Z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KSOSaveFontToCloudKey">
    <vt:lpwstr>362825067_btnclosed</vt:lpwstr>
  </property>
  <property fmtid="{D5CDD505-2E9C-101B-9397-08002B2CF9AE}" pid="4" name="ICV">
    <vt:lpwstr>3454DA28681E476B88EBD83734515EB7</vt:lpwstr>
  </property>
</Properties>
</file>